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Equipo de Dinamización da Lingua Galega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Acta da reunión do día 08-05-2015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Orde do día: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Lectura e aprobación da acta da reunión anterior.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Participación no Plan Proxecta Salvavidas e Exposicións Enredadas.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Concursos do EDLG.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Relatorio “O galego é unha oportunidade”.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Proxecto eTwinning Letras Galegas 2015 - Rosalía de Castro.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Novas do EDLG.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Varios.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Apróbase a acta da reunión anterior.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Recibimos todas as obras de profesorado e alumnado e xa as temos na imprenta xunto cos catálogos. A inauguración será o próximo 13 de maio.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Por outra parte, finalizamos a curtametraxe “O paso previo” e enviámola ao concurso do SERGAS.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Convócase o XXVIII Concurso Literario.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Tivemos o relatorio “O galego é unha oportunidade” de Valentim Fagim e José Ramom Pichel.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Continuamos a traballar no proxecto eTwinning “Letras Galegas”, desenvolvendo todas as actividades colaborativas inicialmente previstas, atopándose nun estado moi avanzado e de calidade sen precedente: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twinspace.etwinning.net/882/pages/page/8933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80" w:before="360" w:lineRule="auto"/>
        <w:ind w:left="720" w:hanging="360"/>
        <w:contextualSpacing w:val="1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O galego é unha oportunidade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0" w:before="360" w:lineRule="auto"/>
        <w:ind w:left="720" w:firstLine="0"/>
        <w:contextualSpacing w:val="0"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Accións a prol da doazón de órganos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0" w:before="360" w:lineRule="auto"/>
        <w:ind w:left="720" w:firstLine="0"/>
        <w:contextualSpacing w:val="0"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XXVIII Concurso Literario</w:t>
        </w:r>
      </w:hyperlink>
    </w:p>
    <w:p w:rsidR="00000000" w:rsidDel="00000000" w:rsidP="00000000" w:rsidRDefault="00000000" w:rsidRPr="00000000">
      <w:pPr>
        <w:spacing w:after="80" w:before="360" w:lineRule="auto"/>
        <w:ind w:left="720" w:firstLine="0"/>
        <w:contextualSpacing w:val="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Curtametraxe: O paso previo</w:t>
        </w:r>
      </w:hyperlink>
      <w:hyperlink r:id="rId10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80" w:before="360" w:lineRule="auto"/>
        <w:ind w:left="0" w:firstLine="0"/>
        <w:contextualSpacing w:val="0"/>
      </w:pPr>
      <w:hyperlink r:id="rId1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Non hai máis asuntos que tratar.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Santiago de Compostela, 8 de maio de 2015.</w:t>
      </w:r>
    </w:p>
    <w:sectPr>
      <w:headerReference r:id="rId12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0" behindDoc="0" distB="114300" distT="114300" distL="114300" distR="114300" hidden="0" layoutInCell="0" locked="0" relativeHeight="0" simplePos="0">
          <wp:simplePos x="0" y="0"/>
          <wp:positionH relativeFrom="margin">
            <wp:posOffset>-433387</wp:posOffset>
          </wp:positionH>
          <wp:positionV relativeFrom="paragraph">
            <wp:posOffset>66675</wp:posOffset>
          </wp:positionV>
          <wp:extent cx="6577013" cy="605085"/>
          <wp:effectExtent b="0" l="0" r="0" t="0"/>
          <wp:wrapSquare wrapText="bothSides" distB="114300" distT="114300" distL="114300" distR="114300"/>
          <wp:docPr descr="cabeceira2.png" id="1" name="image01.png"/>
          <a:graphic>
            <a:graphicData uri="http://schemas.openxmlformats.org/drawingml/2006/picture">
              <pic:pic>
                <pic:nvPicPr>
                  <pic:cNvPr descr="cabeceira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77013" cy="605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b w:val="0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b w:val="0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spacing w:after="200" w:before="0" w:lineRule="auto"/>
      <w:contextualSpacing w:val="1"/>
    </w:pPr>
    <w:rPr>
      <w:rFonts w:ascii="Trebuchet MS" w:cs="Trebuchet MS" w:eastAsia="Trebuchet MS" w:hAnsi="Trebuchet MS"/>
      <w:i w:val="0"/>
      <w:color w:val="000000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2" Type="http://schemas.openxmlformats.org/officeDocument/2006/relationships/header" Target="header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10" Type="http://schemas.openxmlformats.org/officeDocument/2006/relationships/hyperlink" Target="https://www.iessanclemente.net/2015/02/20/memorando-para-o-entendemento/" TargetMode="External"/><Relationship Id="rId4" Type="http://schemas.openxmlformats.org/officeDocument/2006/relationships/styles" Target="styles.xml"/><Relationship Id="rId11" Type="http://schemas.openxmlformats.org/officeDocument/2006/relationships/hyperlink" Target="https://www.iessanclemente.net/2015/01/14/relatorio-sobre-doazon-e-transplante-de-organos/" TargetMode="External"/><Relationship Id="rId3" Type="http://schemas.openxmlformats.org/officeDocument/2006/relationships/numbering" Target="numbering.xml"/><Relationship Id="rId9" Type="http://schemas.openxmlformats.org/officeDocument/2006/relationships/hyperlink" Target="https://www.iessanclemente.net/2015/04/27/curtametraxe-o-paso-previo/" TargetMode="External"/><Relationship Id="rId6" Type="http://schemas.openxmlformats.org/officeDocument/2006/relationships/hyperlink" Target="https://www.iessanclemente.net/2015/04/17/o-galego-e-unha-oportunidade/" TargetMode="External"/><Relationship Id="rId5" Type="http://schemas.openxmlformats.org/officeDocument/2006/relationships/hyperlink" Target="http://twinspace.etwinning.net/882/pages/page/8933" TargetMode="External"/><Relationship Id="rId8" Type="http://schemas.openxmlformats.org/officeDocument/2006/relationships/hyperlink" Target="https://www.iessanclemente.net/2015/04/24/xxviii-concurso-literario/" TargetMode="External"/><Relationship Id="rId7" Type="http://schemas.openxmlformats.org/officeDocument/2006/relationships/hyperlink" Target="https://www.iessanclemente.net/2015/04/23/accions-a-prol-da-doazon-de-organos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