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19-06-2015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Avaliación do Plan Proxecta Salvavidas.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Avaliación das outras actividades do EDLG.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Gañadores dos concursos de marcapáxinas e literario.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Finalizadas as actividades do Plan Proxecta San Clemente Salvavidas, procedemos á súa avaliación conforme os puntos indicados no formulario de solicitude: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Como foi tratado o tema desde o punto de vista curricular: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Principalmente por medio dos módulos FOL (hábitos saudables, prevención de riscos laborais, etc), Aplicacións Ofimáticas (presentacións e vídeo) e transversal (uso do galego e fomento de actividades creativas).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Os resultados están expostos na web do instituto: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www.iessanclemente.net/plurilinguismo/equipo/plan-proxecta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Presenza da temática no IES, no website, asistencia ás charlas e interese por solicitar a tarxeta de doador: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A temática estivo presente por medio de carteis e da exposición doARTE, tamén se publicaron documentos informativos, e unha campaña para solicitar o carné de doador. A curtametraxe “O paso previo” e as presentacións tamén están accesibles no mesmo enderezo web.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Realizouse unha charla da OCT de asistencia obrigatoria para o alumnado obxectivo do proxecto e libre para o resto do alumnado. O aforo completouse.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Tamén cabe destacar a publicación de artigos en La Voz de Galicia e no Faro de Vigo sobre a exposición doARTE.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As participacións e contidos do traballo final, incluíndo o concurso de curtametraxes.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A recompilación de materiais nun traballo final fíxose no propio website do centro, onde están todas as accións accesibles, organizadas por data.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A utilización da lingua galega nas actividades do proxecto.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O galego foi a lingua empregada por parte de todo o alumnado e profesorado implicado no proxecto e nesta lingua están todos os materiais producidos: curtamentraxe, presentacións, exposición, catálogo, información, exercicios de exame, etc.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Por todo isto, consideramos que o desenvolvemento do proxecto foi satisfactorio.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spacing w:after="0" w:before="20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Avaliación de outras actividades inicialmente propostas: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Publicación de novas: </w:t>
        <w:tab/>
        <w:tab/>
        <w:tab/>
        <w:tab/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Labores de corrección da web: </w:t>
        <w:tab/>
        <w:tab/>
        <w:tab/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Corrección das wikis: </w:t>
        <w:tab/>
        <w:tab/>
        <w:tab/>
        <w:tab/>
        <w:t xml:space="preserve">Pendente.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Participación no club de lectura: </w:t>
        <w:tab/>
        <w:tab/>
        <w:tab/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Participación en actividades da Coordinadora Galega e DL do Concello de Compostela, etc.: </w:t>
        <w:tab/>
        <w:tab/>
        <w:tab/>
        <w:tab/>
        <w:tab/>
        <w:t xml:space="preserve">Non surxiron.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Novas edicións de concursos (Postais de aninovo, Marcapáxinas e Literario): </w:t>
      </w:r>
    </w:p>
    <w:p w:rsidR="00000000" w:rsidDel="00000000" w:rsidP="00000000" w:rsidRDefault="00000000" w:rsidRPr="00000000">
      <w:pPr>
        <w:spacing w:before="200" w:line="331.2" w:lineRule="auto"/>
        <w:ind w:left="5760" w:firstLine="720"/>
        <w:contextualSpacing w:val="0"/>
      </w:pPr>
      <w:r w:rsidDel="00000000" w:rsidR="00000000" w:rsidRPr="00000000">
        <w:rPr>
          <w:rtl w:val="0"/>
        </w:rPr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Promoción do concurso “Imaxes con Fondo”: </w:t>
        <w:tab/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2"/>
        </w:numPr>
        <w:spacing w:before="200" w:line="331.2" w:lineRule="auto"/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Participación en eTwinning (proxectos, publicacións, proposta de tradución das interfaces): </w:t>
        <w:tab/>
        <w:tab/>
        <w:tab/>
        <w:tab/>
        <w:tab/>
        <w:tab/>
        <w:t xml:space="preserve">Realizada.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Edición dunha publicación que recolla todos os materiais relacionados co EDLG no final do ano escolar: </w:t>
        <w:tab/>
        <w:tab/>
        <w:tab/>
        <w:tab/>
        <w:t xml:space="preserve">Pendente.</w:t>
      </w:r>
      <w:hyperlink r:id="rId6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Os gañadores dos concursos publicáronse no apartado “Novas” do EDLG.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Este ano acordamos dar un premio por centro, no concurso de marcapáxinas, outorgando varios accésit ademais dos tres primeiros premios.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  <w:t xml:space="preserve">No caso do concurso literario, o segundo premio de poesía ficou deserto e concedimos un accésit no literario debido á alta calidade de traballos presentados. En canto a cantidade, foi a convocatoria con máis traballos presentados nos últimos anos.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numPr>
          <w:ilvl w:val="0"/>
          <w:numId w:val="4"/>
        </w:numPr>
        <w:spacing w:after="80" w:before="360" w:lineRule="auto"/>
        <w:ind w:left="720" w:hanging="360"/>
        <w:contextualSpacing w:val="1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Inauguración da exposición “doARTE”</w:t>
        </w:r>
      </w:hyperlink>
    </w:p>
    <w:p w:rsidR="00000000" w:rsidDel="00000000" w:rsidP="00000000" w:rsidRDefault="00000000" w:rsidRPr="00000000">
      <w:pPr>
        <w:keepNext w:val="0"/>
        <w:keepLines w:val="0"/>
        <w:spacing w:after="80" w:before="360" w:lineRule="auto"/>
        <w:ind w:left="720" w:firstLine="0"/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Resolución do V Concurso Europeo de Marcapáxinas</w:t>
        </w:r>
      </w:hyperlink>
    </w:p>
    <w:p w:rsidR="00000000" w:rsidDel="00000000" w:rsidP="00000000" w:rsidRDefault="00000000" w:rsidRPr="00000000">
      <w:pPr>
        <w:keepNext w:val="0"/>
        <w:keepLines w:val="0"/>
        <w:spacing w:after="80" w:before="360" w:lineRule="auto"/>
        <w:ind w:left="720" w:firstLine="0"/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Resolución do XXVIII Concurso Literario do IES San Clemente</w:t>
        </w:r>
      </w:hyperlink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spacing w:after="0" w:before="0" w:line="276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  <w:t xml:space="preserve">Non hai máis asuntos que tratar.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  <w:t xml:space="preserve">Santiago de Compostela, 19 de xuño de 2015.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s://www.iessanclemente.net/2015/05/25/resolucion-do-xxviii-concurso-literario-do-ies-san-clemente/" TargetMode="External"/><Relationship Id="rId6" Type="http://schemas.openxmlformats.org/officeDocument/2006/relationships/hyperlink" Target="http://www.iessanclemente.net/2014/09/24/galeguia/" TargetMode="External"/><Relationship Id="rId5" Type="http://schemas.openxmlformats.org/officeDocument/2006/relationships/hyperlink" Target="https://www.iessanclemente.net/plurilinguismo/equipo/plan-proxecta" TargetMode="External"/><Relationship Id="rId8" Type="http://schemas.openxmlformats.org/officeDocument/2006/relationships/hyperlink" Target="https://www.iessanclemente.net/2015/05/20/resolucion-do-v-concurso-europeo-de-marcapaxinas/" TargetMode="External"/><Relationship Id="rId7" Type="http://schemas.openxmlformats.org/officeDocument/2006/relationships/hyperlink" Target="https://www.iessanclemente.net/2015/05/12/inauguracion-da-exposicion-doarte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